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1CBC5EB">
      <w:pPr>
        <w:jc w:val="center"/>
        <w:rPr>
          <w:rFonts w:hint="eastAsia"/>
          <w:sz w:val="32"/>
          <w:szCs w:val="32"/>
        </w:rPr>
      </w:pPr>
      <w:r>
        <w:rPr>
          <w:rFonts w:hint="eastAsia"/>
          <w:sz w:val="32"/>
          <w:szCs w:val="32"/>
        </w:rPr>
        <w:t>有人喜咸—</w:t>
      </w:r>
    </w:p>
    <w:p w14:paraId="23E790D3">
      <w:pPr>
        <w:jc w:val="center"/>
        <w:rPr>
          <w:rFonts w:hint="eastAsia"/>
          <w:sz w:val="32"/>
          <w:szCs w:val="32"/>
        </w:rPr>
      </w:pPr>
      <w:r>
        <w:rPr>
          <w:rFonts w:hint="eastAsia"/>
          <w:sz w:val="32"/>
          <w:szCs w:val="32"/>
        </w:rPr>
        <w:t>以西澳大利亚鲨湾极端盐度梯度中的鱼类群落为研究对象</w:t>
      </w:r>
    </w:p>
    <w:p w14:paraId="25353FE0">
      <w:pPr>
        <w:jc w:val="left"/>
        <w:rPr>
          <w:rFonts w:hint="eastAsia"/>
          <w:sz w:val="28"/>
          <w:szCs w:val="28"/>
        </w:rPr>
      </w:pPr>
      <w:r>
        <w:rPr>
          <w:rFonts w:hint="eastAsia"/>
          <w:sz w:val="28"/>
          <w:szCs w:val="28"/>
          <w:lang w:val="en-US"/>
        </w:rPr>
        <w:t>Abstract</w:t>
      </w:r>
    </w:p>
    <w:p w14:paraId="49928095">
      <w:pPr>
        <w:jc w:val="left"/>
        <w:rPr>
          <w:rFonts w:hint="eastAsia"/>
          <w:sz w:val="21"/>
          <w:szCs w:val="21"/>
          <w:lang w:val="en-US"/>
        </w:rPr>
      </w:pPr>
      <w:r>
        <w:rPr>
          <w:rFonts w:hint="eastAsia"/>
          <w:sz w:val="21"/>
          <w:szCs w:val="21"/>
          <w:lang w:val="en-US" w:eastAsia="zh-CN"/>
        </w:rPr>
        <w:t>Variation in environmental conditions drive changes within </w:t>
      </w:r>
      <w:r>
        <w:rPr>
          <w:rFonts w:hint="eastAsia"/>
          <w:sz w:val="21"/>
          <w:szCs w:val="21"/>
          <w:lang w:val="en-US" w:eastAsia="zh-CN"/>
        </w:rPr>
        <w:fldChar w:fldCharType="begin"/>
      </w:r>
      <w:r>
        <w:rPr>
          <w:rFonts w:hint="eastAsia"/>
          <w:sz w:val="21"/>
          <w:szCs w:val="21"/>
          <w:lang w:val="en-US" w:eastAsia="zh-CN"/>
        </w:rPr>
        <w:instrText xml:space="preserve"> HYPERLINK "https://www.sciencedirect.com/topics/earth-and-planetary-sciences/aquatic-ecosystem" </w:instrText>
      </w:r>
      <w:r>
        <w:rPr>
          <w:rFonts w:hint="eastAsia"/>
          <w:sz w:val="21"/>
          <w:szCs w:val="21"/>
          <w:lang w:val="en-US" w:eastAsia="zh-CN"/>
        </w:rPr>
        <w:fldChar w:fldCharType="separate"/>
      </w:r>
      <w:r>
        <w:rPr>
          <w:rFonts w:hint="eastAsia"/>
          <w:sz w:val="21"/>
          <w:szCs w:val="21"/>
          <w:lang w:val="en-US"/>
        </w:rPr>
        <w:t>aquatic ecosystems</w:t>
      </w:r>
      <w:r>
        <w:rPr>
          <w:rFonts w:hint="eastAsia"/>
          <w:sz w:val="21"/>
          <w:szCs w:val="21"/>
          <w:lang w:val="en-US" w:eastAsia="zh-CN"/>
        </w:rPr>
        <w:fldChar w:fldCharType="end"/>
      </w:r>
      <w:r>
        <w:rPr>
          <w:rFonts w:hint="eastAsia"/>
          <w:sz w:val="21"/>
          <w:szCs w:val="21"/>
          <w:lang w:val="en-US" w:eastAsia="zh-CN"/>
        </w:rPr>
        <w:t> and their associated inhabitants, with </w:t>
      </w:r>
      <w:r>
        <w:rPr>
          <w:rFonts w:hint="eastAsia"/>
          <w:sz w:val="21"/>
          <w:szCs w:val="21"/>
          <w:lang w:val="en-US" w:eastAsia="zh-CN"/>
        </w:rPr>
        <w:fldChar w:fldCharType="begin"/>
      </w:r>
      <w:r>
        <w:rPr>
          <w:rFonts w:hint="eastAsia"/>
          <w:sz w:val="21"/>
          <w:szCs w:val="21"/>
          <w:lang w:val="en-US" w:eastAsia="zh-CN"/>
        </w:rPr>
        <w:instrText xml:space="preserve"> HYPERLINK "https://www.sciencedirect.com/topics/earth-and-planetary-sciences/salinity" </w:instrText>
      </w:r>
      <w:r>
        <w:rPr>
          <w:rFonts w:hint="eastAsia"/>
          <w:sz w:val="21"/>
          <w:szCs w:val="21"/>
          <w:lang w:val="en-US" w:eastAsia="zh-CN"/>
        </w:rPr>
        <w:fldChar w:fldCharType="separate"/>
      </w:r>
      <w:r>
        <w:rPr>
          <w:rFonts w:hint="eastAsia"/>
          <w:sz w:val="21"/>
          <w:szCs w:val="21"/>
          <w:lang w:val="en-US"/>
        </w:rPr>
        <w:t>salinity</w:t>
      </w:r>
      <w:r>
        <w:rPr>
          <w:rFonts w:hint="eastAsia"/>
          <w:sz w:val="21"/>
          <w:szCs w:val="21"/>
          <w:lang w:val="en-US" w:eastAsia="zh-CN"/>
        </w:rPr>
        <w:fldChar w:fldCharType="end"/>
      </w:r>
      <w:r>
        <w:rPr>
          <w:rFonts w:hint="eastAsia"/>
          <w:sz w:val="21"/>
          <w:szCs w:val="21"/>
          <w:lang w:val="en-US" w:eastAsia="zh-CN"/>
        </w:rPr>
        <w:t> and temperature influencing the spatial and temporal patterns of biological communities. An extreme </w:t>
      </w:r>
      <w:r>
        <w:rPr>
          <w:rFonts w:hint="eastAsia"/>
          <w:sz w:val="21"/>
          <w:szCs w:val="21"/>
          <w:lang w:val="en-US" w:eastAsia="zh-CN"/>
        </w:rPr>
        <w:fldChar w:fldCharType="begin"/>
      </w:r>
      <w:r>
        <w:rPr>
          <w:rFonts w:hint="eastAsia"/>
          <w:sz w:val="21"/>
          <w:szCs w:val="21"/>
          <w:lang w:val="en-US" w:eastAsia="zh-CN"/>
        </w:rPr>
        <w:instrText xml:space="preserve"> HYPERLINK "https://www.sciencedirect.com/topics/earth-and-planetary-sciences/salinity" </w:instrText>
      </w:r>
      <w:r>
        <w:rPr>
          <w:rFonts w:hint="eastAsia"/>
          <w:sz w:val="21"/>
          <w:szCs w:val="21"/>
          <w:lang w:val="en-US" w:eastAsia="zh-CN"/>
        </w:rPr>
        <w:fldChar w:fldCharType="separate"/>
      </w:r>
      <w:r>
        <w:rPr>
          <w:rFonts w:hint="eastAsia"/>
          <w:sz w:val="21"/>
          <w:szCs w:val="21"/>
          <w:lang w:val="en-US"/>
        </w:rPr>
        <w:t>salinity</w:t>
      </w:r>
      <w:r>
        <w:rPr>
          <w:rFonts w:hint="eastAsia"/>
          <w:sz w:val="21"/>
          <w:szCs w:val="21"/>
          <w:lang w:val="en-US" w:eastAsia="zh-CN"/>
        </w:rPr>
        <w:fldChar w:fldCharType="end"/>
      </w:r>
      <w:r>
        <w:rPr>
          <w:rFonts w:hint="eastAsia"/>
          <w:sz w:val="21"/>
          <w:szCs w:val="21"/>
          <w:lang w:val="en-US" w:eastAsia="zh-CN"/>
        </w:rPr>
        <w:t> gradient exists within the Eastern Gulf of Shark Bay UNESCO World Heritage Area, Western Australia, reaching &lt;91.5 psu within Hamelin Pool Marine Nature Reserve. We deployed 288 baited remote underwater stereo-video systems (stereo-BRUVs) across four habitats (sand, </w:t>
      </w:r>
      <w:r>
        <w:rPr>
          <w:rFonts w:hint="eastAsia"/>
          <w:sz w:val="21"/>
          <w:szCs w:val="21"/>
          <w:lang w:val="en-US" w:eastAsia="zh-CN"/>
        </w:rPr>
        <w:fldChar w:fldCharType="begin"/>
      </w:r>
      <w:r>
        <w:rPr>
          <w:rFonts w:hint="eastAsia"/>
          <w:sz w:val="21"/>
          <w:szCs w:val="21"/>
          <w:lang w:val="en-US" w:eastAsia="zh-CN"/>
        </w:rPr>
        <w:instrText xml:space="preserve"> HYPERLINK "https://www.sciencedirect.com/topics/agricultural-and-biological-sciences/seagrass" </w:instrText>
      </w:r>
      <w:r>
        <w:rPr>
          <w:rFonts w:hint="eastAsia"/>
          <w:sz w:val="21"/>
          <w:szCs w:val="21"/>
          <w:lang w:val="en-US" w:eastAsia="zh-CN"/>
        </w:rPr>
        <w:fldChar w:fldCharType="separate"/>
      </w:r>
      <w:r>
        <w:rPr>
          <w:rFonts w:hint="eastAsia"/>
          <w:sz w:val="21"/>
          <w:szCs w:val="21"/>
          <w:lang w:val="en-US"/>
        </w:rPr>
        <w:t>seagrass</w:t>
      </w:r>
      <w:r>
        <w:rPr>
          <w:rFonts w:hint="eastAsia"/>
          <w:sz w:val="21"/>
          <w:szCs w:val="21"/>
          <w:lang w:val="en-US" w:eastAsia="zh-CN"/>
        </w:rPr>
        <w:fldChar w:fldCharType="end"/>
      </w:r>
      <w:r>
        <w:rPr>
          <w:rFonts w:hint="eastAsia"/>
          <w:sz w:val="21"/>
          <w:szCs w:val="21"/>
          <w:lang w:val="en-US" w:eastAsia="zh-CN"/>
        </w:rPr>
        <w:t>, low relief </w:t>
      </w:r>
      <w:r>
        <w:rPr>
          <w:rFonts w:hint="eastAsia"/>
          <w:sz w:val="21"/>
          <w:szCs w:val="21"/>
          <w:lang w:val="en-US" w:eastAsia="zh-CN"/>
        </w:rPr>
        <w:fldChar w:fldCharType="begin"/>
      </w:r>
      <w:r>
        <w:rPr>
          <w:rFonts w:hint="eastAsia"/>
          <w:sz w:val="21"/>
          <w:szCs w:val="21"/>
          <w:lang w:val="en-US" w:eastAsia="zh-CN"/>
        </w:rPr>
        <w:instrText xml:space="preserve"> HYPERLINK "https://www.sciencedirect.com/topics/earth-and-planetary-sciences/stromatolite" </w:instrText>
      </w:r>
      <w:r>
        <w:rPr>
          <w:rFonts w:hint="eastAsia"/>
          <w:sz w:val="21"/>
          <w:szCs w:val="21"/>
          <w:lang w:val="en-US" w:eastAsia="zh-CN"/>
        </w:rPr>
        <w:fldChar w:fldCharType="separate"/>
      </w:r>
      <w:r>
        <w:rPr>
          <w:rFonts w:hint="eastAsia"/>
          <w:sz w:val="21"/>
          <w:szCs w:val="21"/>
          <w:lang w:val="en-US"/>
        </w:rPr>
        <w:t>stromatolites</w:t>
      </w:r>
      <w:r>
        <w:rPr>
          <w:rFonts w:hint="eastAsia"/>
          <w:sz w:val="21"/>
          <w:szCs w:val="21"/>
          <w:lang w:val="en-US" w:eastAsia="zh-CN"/>
        </w:rPr>
        <w:fldChar w:fldCharType="end"/>
      </w:r>
      <w:r>
        <w:rPr>
          <w:rFonts w:hint="eastAsia"/>
          <w:sz w:val="21"/>
          <w:szCs w:val="21"/>
          <w:lang w:val="en-US" w:eastAsia="zh-CN"/>
        </w:rPr>
        <w:t>, and high relief stromatolites) and three locations (Eastern Gulf, Faure Sill, and Hamelin Pool) to examine variation in fish assemblages across this salinity gradient. A total of 20,533 fish from 90 species (44 Families) were identified, 86 % of which were carnivores, with only one herbivorous species recorded. Two species accounted for 50 % of fish observed (Helotes octolineatus (30 %) and Pentapodus vitta (20 %)). Variations in assemblages were driven by changes in salinity and habitat. The number of species decreased with increasing salinity, while </w:t>
      </w:r>
      <w:r>
        <w:rPr>
          <w:rFonts w:hint="eastAsia"/>
          <w:sz w:val="21"/>
          <w:szCs w:val="21"/>
          <w:lang w:val="en-US" w:eastAsia="zh-CN"/>
        </w:rPr>
        <w:fldChar w:fldCharType="begin"/>
      </w:r>
      <w:r>
        <w:rPr>
          <w:rFonts w:hint="eastAsia"/>
          <w:sz w:val="21"/>
          <w:szCs w:val="21"/>
          <w:lang w:val="en-US" w:eastAsia="zh-CN"/>
        </w:rPr>
        <w:instrText xml:space="preserve"> HYPERLINK "https://www.sciencedirect.com/topics/earth-and-planetary-sciences/sea-grasses" </w:instrText>
      </w:r>
      <w:r>
        <w:rPr>
          <w:rFonts w:hint="eastAsia"/>
          <w:sz w:val="21"/>
          <w:szCs w:val="21"/>
          <w:lang w:val="en-US" w:eastAsia="zh-CN"/>
        </w:rPr>
        <w:fldChar w:fldCharType="separate"/>
      </w:r>
      <w:r>
        <w:rPr>
          <w:rFonts w:hint="eastAsia"/>
          <w:sz w:val="21"/>
          <w:szCs w:val="21"/>
          <w:lang w:val="en-US"/>
        </w:rPr>
        <w:t>seagrass</w:t>
      </w:r>
      <w:r>
        <w:rPr>
          <w:rFonts w:hint="eastAsia"/>
          <w:sz w:val="21"/>
          <w:szCs w:val="21"/>
          <w:lang w:val="en-US" w:eastAsia="zh-CN"/>
        </w:rPr>
        <w:fldChar w:fldCharType="end"/>
      </w:r>
      <w:r>
        <w:rPr>
          <w:rFonts w:hint="eastAsia"/>
          <w:sz w:val="21"/>
          <w:szCs w:val="21"/>
          <w:lang w:val="en-US" w:eastAsia="zh-CN"/>
        </w:rPr>
        <w:t> habitats consistently had the highest abundance and number of species. However, the composition of </w:t>
      </w:r>
      <w:r>
        <w:rPr>
          <w:rFonts w:hint="eastAsia"/>
          <w:sz w:val="21"/>
          <w:szCs w:val="21"/>
          <w:lang w:val="en-US" w:eastAsia="zh-CN"/>
        </w:rPr>
        <w:fldChar w:fldCharType="begin"/>
      </w:r>
      <w:r>
        <w:rPr>
          <w:rFonts w:hint="eastAsia"/>
          <w:sz w:val="21"/>
          <w:szCs w:val="21"/>
          <w:lang w:val="en-US" w:eastAsia="zh-CN"/>
        </w:rPr>
        <w:instrText xml:space="preserve"> HYPERLINK "https://www.sciencedirect.com/topics/agricultural-and-biological-sciences/seagrass" </w:instrText>
      </w:r>
      <w:r>
        <w:rPr>
          <w:rFonts w:hint="eastAsia"/>
          <w:sz w:val="21"/>
          <w:szCs w:val="21"/>
          <w:lang w:val="en-US" w:eastAsia="zh-CN"/>
        </w:rPr>
        <w:fldChar w:fldCharType="separate"/>
      </w:r>
      <w:r>
        <w:rPr>
          <w:rFonts w:hint="eastAsia"/>
          <w:sz w:val="21"/>
          <w:szCs w:val="21"/>
          <w:lang w:val="en-US"/>
        </w:rPr>
        <w:t>seagrass</w:t>
      </w:r>
      <w:r>
        <w:rPr>
          <w:rFonts w:hint="eastAsia"/>
          <w:sz w:val="21"/>
          <w:szCs w:val="21"/>
          <w:lang w:val="en-US" w:eastAsia="zh-CN"/>
        </w:rPr>
        <w:fldChar w:fldCharType="end"/>
      </w:r>
      <w:r>
        <w:rPr>
          <w:rFonts w:hint="eastAsia"/>
          <w:sz w:val="21"/>
          <w:szCs w:val="21"/>
          <w:lang w:val="en-US" w:eastAsia="zh-CN"/>
        </w:rPr>
        <w:t> affiliated fish assemblages differed among locations. Seven species observed are targeted by recreational fishers within Shark Bay. Chrysophrys auratus were significantly larger, and </w:t>
      </w:r>
      <w:r>
        <w:rPr>
          <w:rFonts w:hint="eastAsia"/>
          <w:sz w:val="21"/>
          <w:szCs w:val="21"/>
          <w:lang w:val="en-US" w:eastAsia="zh-CN"/>
        </w:rPr>
        <w:fldChar w:fldCharType="begin"/>
      </w:r>
      <w:r>
        <w:rPr>
          <w:rFonts w:hint="eastAsia"/>
          <w:sz w:val="21"/>
          <w:szCs w:val="21"/>
          <w:lang w:val="en-US" w:eastAsia="zh-CN"/>
        </w:rPr>
        <w:instrText xml:space="preserve"> HYPERLINK "https://www.sciencedirect.com/topics/agricultural-and-biological-sciences/epinephelus-coioides" </w:instrText>
      </w:r>
      <w:r>
        <w:rPr>
          <w:rFonts w:hint="eastAsia"/>
          <w:sz w:val="21"/>
          <w:szCs w:val="21"/>
          <w:lang w:val="en-US" w:eastAsia="zh-CN"/>
        </w:rPr>
        <w:fldChar w:fldCharType="separate"/>
      </w:r>
      <w:r>
        <w:rPr>
          <w:rFonts w:hint="eastAsia"/>
          <w:sz w:val="21"/>
          <w:szCs w:val="21"/>
          <w:lang w:val="en-US"/>
        </w:rPr>
        <w:t>Epinephelus coioides</w:t>
      </w:r>
      <w:r>
        <w:rPr>
          <w:rFonts w:hint="eastAsia"/>
          <w:sz w:val="21"/>
          <w:szCs w:val="21"/>
          <w:lang w:val="en-US" w:eastAsia="zh-CN"/>
        </w:rPr>
        <w:fldChar w:fldCharType="end"/>
      </w:r>
      <w:r>
        <w:rPr>
          <w:rFonts w:hint="eastAsia"/>
          <w:sz w:val="21"/>
          <w:szCs w:val="21"/>
          <w:lang w:val="en-US" w:eastAsia="zh-CN"/>
        </w:rPr>
        <w:t> and </w:t>
      </w:r>
      <w:r>
        <w:rPr>
          <w:rFonts w:hint="eastAsia"/>
          <w:sz w:val="21"/>
          <w:szCs w:val="21"/>
          <w:lang w:val="en-US" w:eastAsia="zh-CN"/>
        </w:rPr>
        <w:fldChar w:fldCharType="begin"/>
      </w:r>
      <w:r>
        <w:rPr>
          <w:rFonts w:hint="eastAsia"/>
          <w:sz w:val="21"/>
          <w:szCs w:val="21"/>
          <w:lang w:val="en-US" w:eastAsia="zh-CN"/>
        </w:rPr>
        <w:instrText xml:space="preserve"> HYPERLINK "https://www.sciencedirect.com/topics/agricultural-and-biological-sciences/lethrinus" </w:instrText>
      </w:r>
      <w:r>
        <w:rPr>
          <w:rFonts w:hint="eastAsia"/>
          <w:sz w:val="21"/>
          <w:szCs w:val="21"/>
          <w:lang w:val="en-US" w:eastAsia="zh-CN"/>
        </w:rPr>
        <w:fldChar w:fldCharType="separate"/>
      </w:r>
      <w:r>
        <w:rPr>
          <w:rFonts w:hint="eastAsia"/>
          <w:sz w:val="21"/>
          <w:szCs w:val="21"/>
          <w:lang w:val="en-US"/>
        </w:rPr>
        <w:t>Lethrinus</w:t>
      </w:r>
      <w:r>
        <w:rPr>
          <w:rFonts w:hint="eastAsia"/>
          <w:sz w:val="21"/>
          <w:szCs w:val="21"/>
          <w:lang w:val="en-US" w:eastAsia="zh-CN"/>
        </w:rPr>
        <w:fldChar w:fldCharType="end"/>
      </w:r>
      <w:r>
        <w:rPr>
          <w:rFonts w:hint="eastAsia"/>
          <w:sz w:val="21"/>
          <w:szCs w:val="21"/>
          <w:lang w:val="en-US" w:eastAsia="zh-CN"/>
        </w:rPr>
        <w:t> laticaudis more abundant in Hamelin Pool, a potential marine reserve effect. Despite extreme changes in salinity, fish assemblages here are diverse, with Hamelin Pool potentially facilitating the </w:t>
      </w:r>
      <w:r>
        <w:rPr>
          <w:rFonts w:hint="eastAsia"/>
          <w:sz w:val="21"/>
          <w:szCs w:val="21"/>
          <w:lang w:val="en-US" w:eastAsia="zh-CN"/>
        </w:rPr>
        <w:fldChar w:fldCharType="begin"/>
      </w:r>
      <w:r>
        <w:rPr>
          <w:rFonts w:hint="eastAsia"/>
          <w:sz w:val="21"/>
          <w:szCs w:val="21"/>
          <w:lang w:val="en-US" w:eastAsia="zh-CN"/>
        </w:rPr>
        <w:instrText xml:space="preserve"> HYPERLINK "https://www.sciencedirect.com/topics/earth-and-planetary-sciences/replenishment" </w:instrText>
      </w:r>
      <w:r>
        <w:rPr>
          <w:rFonts w:hint="eastAsia"/>
          <w:sz w:val="21"/>
          <w:szCs w:val="21"/>
          <w:lang w:val="en-US" w:eastAsia="zh-CN"/>
        </w:rPr>
        <w:fldChar w:fldCharType="separate"/>
      </w:r>
      <w:r>
        <w:rPr>
          <w:rFonts w:hint="eastAsia"/>
          <w:sz w:val="21"/>
          <w:szCs w:val="21"/>
          <w:lang w:val="en-US"/>
        </w:rPr>
        <w:t>replenishment</w:t>
      </w:r>
      <w:r>
        <w:rPr>
          <w:rFonts w:hint="eastAsia"/>
          <w:sz w:val="21"/>
          <w:szCs w:val="21"/>
          <w:lang w:val="en-US" w:eastAsia="zh-CN"/>
        </w:rPr>
        <w:fldChar w:fldCharType="end"/>
      </w:r>
      <w:r>
        <w:rPr>
          <w:rFonts w:hint="eastAsia"/>
          <w:sz w:val="21"/>
          <w:szCs w:val="21"/>
          <w:lang w:val="en-US" w:eastAsia="zh-CN"/>
        </w:rPr>
        <w:t> of species that are fished outside of the Marine Nature Reserve. Under the current </w:t>
      </w:r>
      <w:r>
        <w:rPr>
          <w:rFonts w:hint="eastAsia"/>
          <w:sz w:val="21"/>
          <w:szCs w:val="21"/>
          <w:lang w:val="en-US" w:eastAsia="zh-CN"/>
        </w:rPr>
        <w:fldChar w:fldCharType="begin"/>
      </w:r>
      <w:r>
        <w:rPr>
          <w:rFonts w:hint="eastAsia"/>
          <w:sz w:val="21"/>
          <w:szCs w:val="21"/>
          <w:lang w:val="en-US" w:eastAsia="zh-CN"/>
        </w:rPr>
        <w:instrText xml:space="preserve"> HYPERLINK "https://www.sciencedirect.com/topics/earth-and-planetary-sciences/climate-change-impact" </w:instrText>
      </w:r>
      <w:r>
        <w:rPr>
          <w:rFonts w:hint="eastAsia"/>
          <w:sz w:val="21"/>
          <w:szCs w:val="21"/>
          <w:lang w:val="en-US" w:eastAsia="zh-CN"/>
        </w:rPr>
        <w:fldChar w:fldCharType="separate"/>
      </w:r>
      <w:r>
        <w:rPr>
          <w:rFonts w:hint="eastAsia"/>
          <w:sz w:val="21"/>
          <w:szCs w:val="21"/>
          <w:lang w:val="en-US"/>
        </w:rPr>
        <w:t>effects of climate change</w:t>
      </w:r>
      <w:r>
        <w:rPr>
          <w:rFonts w:hint="eastAsia"/>
          <w:sz w:val="21"/>
          <w:szCs w:val="21"/>
          <w:lang w:val="en-US" w:eastAsia="zh-CN"/>
        </w:rPr>
        <w:fldChar w:fldCharType="end"/>
      </w:r>
      <w:r>
        <w:rPr>
          <w:rFonts w:hint="eastAsia"/>
          <w:sz w:val="21"/>
          <w:szCs w:val="21"/>
          <w:lang w:val="en-US" w:eastAsia="zh-CN"/>
        </w:rPr>
        <w:t>, </w:t>
      </w:r>
      <w:r>
        <w:rPr>
          <w:rFonts w:hint="eastAsia"/>
          <w:sz w:val="21"/>
          <w:szCs w:val="21"/>
          <w:lang w:val="en-US" w:eastAsia="zh-CN"/>
        </w:rPr>
        <w:fldChar w:fldCharType="begin"/>
      </w:r>
      <w:r>
        <w:rPr>
          <w:rFonts w:hint="eastAsia"/>
          <w:sz w:val="21"/>
          <w:szCs w:val="21"/>
          <w:lang w:val="en-US" w:eastAsia="zh-CN"/>
        </w:rPr>
        <w:instrText xml:space="preserve"> HYPERLINK "https://www.sciencedirect.com/topics/earth-and-planetary-sciences/hypersaline-environment" </w:instrText>
      </w:r>
      <w:r>
        <w:rPr>
          <w:rFonts w:hint="eastAsia"/>
          <w:sz w:val="21"/>
          <w:szCs w:val="21"/>
          <w:lang w:val="en-US" w:eastAsia="zh-CN"/>
        </w:rPr>
        <w:fldChar w:fldCharType="separate"/>
      </w:r>
      <w:r>
        <w:rPr>
          <w:rFonts w:hint="eastAsia"/>
          <w:sz w:val="21"/>
          <w:szCs w:val="21"/>
          <w:lang w:val="en-US"/>
        </w:rPr>
        <w:t>hypersaline environments</w:t>
      </w:r>
      <w:r>
        <w:rPr>
          <w:rFonts w:hint="eastAsia"/>
          <w:sz w:val="21"/>
          <w:szCs w:val="21"/>
          <w:lang w:val="en-US" w:eastAsia="zh-CN"/>
        </w:rPr>
        <w:fldChar w:fldCharType="end"/>
      </w:r>
      <w:r>
        <w:rPr>
          <w:rFonts w:hint="eastAsia"/>
          <w:sz w:val="21"/>
          <w:szCs w:val="21"/>
          <w:lang w:val="en-US" w:eastAsia="zh-CN"/>
        </w:rPr>
        <w:t> around the world are likely to see salinity levels increase further, with a potential decrease in the diversity of their fish assemblages.</w:t>
      </w:r>
    </w:p>
    <w:p w14:paraId="26D3A2C7">
      <w:pPr>
        <w:jc w:val="left"/>
        <w:rPr>
          <w:rFonts w:hint="eastAsia"/>
          <w:sz w:val="21"/>
          <w:szCs w:val="21"/>
          <w:lang w:val="en-US"/>
        </w:rPr>
      </w:pPr>
    </w:p>
    <w:p w14:paraId="122281C3">
      <w:pPr>
        <w:jc w:val="left"/>
        <w:rPr>
          <w:rFonts w:hint="eastAsia"/>
          <w:sz w:val="21"/>
          <w:szCs w:val="21"/>
          <w:lang w:val="en-US" w:eastAsia="zh-CN"/>
        </w:rPr>
      </w:pPr>
      <w:r>
        <w:rPr>
          <w:rFonts w:hint="eastAsia"/>
          <w:sz w:val="21"/>
          <w:szCs w:val="21"/>
          <w:lang w:val="en-US" w:eastAsia="zh-CN"/>
        </w:rPr>
        <w:t>摘要</w:t>
      </w:r>
    </w:p>
    <w:p w14:paraId="540651EC">
      <w:pPr>
        <w:ind w:firstLine="420" w:firstLineChars="200"/>
        <w:jc w:val="left"/>
        <w:rPr>
          <w:rFonts w:hint="default"/>
          <w:sz w:val="21"/>
          <w:szCs w:val="21"/>
          <w:lang w:val="en-US" w:eastAsia="zh-CN"/>
        </w:rPr>
      </w:pPr>
      <w:r>
        <w:rPr>
          <w:rFonts w:hint="default"/>
          <w:sz w:val="21"/>
          <w:szCs w:val="21"/>
          <w:lang w:val="en-US" w:eastAsia="zh-CN"/>
        </w:rPr>
        <w:t>环境条件的差异驱动着水生生态系统及其栖息者的变化，盐度与温度则影响着生物群落的时空分布格局。在澳大利亚西部鲨湾东湾联合国教科文组织世界遗产区，存在极端的盐度梯度，汉梅林池海洋自然保护区内的盐度甚至低于91.5 psu。我们在此盐度梯度下，于四种生境（沙地、海草、低起伏叠层石和高起伏叠层石）及三个区域（东湾、福尔 sill 和汉梅林池）布设了288套诱饵式远程水下立体视频系统（立体-BRUVs），以探究鱼类群落随盐度变化的差异。共记录鱼类20,533条，分属90种（44科），其中86%为肉食性鱼类，仅发现1种草食性物种。两种鱼类占观察到的鱼类的50%（八线鱼（30%）和五足鱼（20%））。组合的变化是由盐度和栖息地的变化驱动的。物种数量随着盐度的增加而减少，而海草栖息地的物种丰度和数量始终最高。然而，海草附属鱼类群落的组成因地点而异。鲨鱼湾内的休闲渔民以观察到的七种物种为目标。哈梅林池中的金斑鱼明显更大，石斑鱼和宽尾石斑鱼更丰富，这是一种潜在的海洋保护区效应。尽管盐度发生了极端变化，但这里的鱼类群落是多样化的，哈梅林池可能有助于补充海洋自然保护区以外捕捞的物种。在当前气候变化的影响下，世界各地的高盐环境可能会看到盐度水平进一步上升，鱼类群落的多样性可能会减少。</w:t>
      </w:r>
    </w:p>
    <w:p w14:paraId="27467AB5">
      <w:pPr>
        <w:jc w:val="left"/>
        <w:rPr>
          <w:rFonts w:hint="eastAsia"/>
          <w:sz w:val="21"/>
          <w:szCs w:val="21"/>
          <w:lang w:val="en-US" w:eastAsia="zh-CN"/>
        </w:rPr>
      </w:pPr>
      <w:r>
        <w:rPr>
          <w:rFonts w:hint="eastAsia"/>
          <w:sz w:val="28"/>
          <w:szCs w:val="28"/>
          <w:lang w:val="en-US"/>
        </w:rPr>
        <w:t>Keywords</w:t>
      </w:r>
      <w:r>
        <w:rPr>
          <w:rFonts w:hint="eastAsia"/>
          <w:sz w:val="28"/>
          <w:szCs w:val="28"/>
          <w:lang w:val="en-US" w:eastAsia="zh-CN"/>
        </w:rPr>
        <w:t xml:space="preserve">: </w:t>
      </w:r>
      <w:r>
        <w:rPr>
          <w:rFonts w:hint="eastAsia"/>
          <w:sz w:val="21"/>
          <w:szCs w:val="21"/>
          <w:lang w:val="en-US" w:eastAsia="zh-CN"/>
        </w:rPr>
        <w:t>Stereo-BRUVs;  Seagrass;  Habitats;  Marine nature reserve;  Stromatolites.</w:t>
      </w:r>
    </w:p>
    <w:p w14:paraId="65A3F377">
      <w:pPr>
        <w:jc w:val="left"/>
        <w:rPr>
          <w:rFonts w:hint="default"/>
          <w:sz w:val="28"/>
          <w:szCs w:val="28"/>
          <w:lang w:val="en-US" w:eastAsia="zh-CN"/>
        </w:rPr>
      </w:pPr>
      <w:r>
        <w:rPr>
          <w:rFonts w:hint="default"/>
          <w:sz w:val="28"/>
          <w:szCs w:val="28"/>
          <w:lang w:val="en-US" w:eastAsia="zh-CN"/>
        </w:rPr>
        <w:t>Introduction</w:t>
      </w:r>
    </w:p>
    <w:p w14:paraId="5B020C7C">
      <w:pPr>
        <w:jc w:val="left"/>
        <w:rPr>
          <w:rFonts w:hint="default"/>
          <w:sz w:val="21"/>
          <w:szCs w:val="21"/>
          <w:lang w:val="en-US" w:eastAsia="zh-CN"/>
        </w:rPr>
      </w:pPr>
      <w:r>
        <w:rPr>
          <w:rFonts w:hint="default"/>
          <w:sz w:val="21"/>
          <w:szCs w:val="21"/>
          <w:lang w:val="en-US" w:eastAsia="zh-CN"/>
        </w:rPr>
        <w:t>Variation in environmental conditions drive changes within ecosystems and their associated inhabitants (Granadeiro et al., 2007; Monti et al., 2021; Traill et al., 2010). In aquatic ecosystems, salinity and temperature influence spatial and temporal patterns of biological communities and drive ecological changes in populations (Sosa-López et al., 2007; Telesh et al., 2013). Salinity within open ocean marine environments has minimal variation (30–40 practical salinity units (PSU)) (Talley, 2002), yet salinity gradients are common within estuaries along coastlines (Cloern et al., 2017; Telesh et al., 2010). Significant salinity fluctuations can create a natural ecological barrier between marine and freshwater species (Koehler et al., 2022; Telesh et al., 2013; Vuorinen et al., 2015), influencing the composition of assemblages and controlling the development and growth of individuals (Koehler et al., 2022; Bœuf and Payan, 2001). For example, a decreased growth rate in fish has been linked to hypersaline environments for certain species (Fielder et al., 2005; Partridge and Jenkins, 2002).</w:t>
      </w:r>
    </w:p>
    <w:p w14:paraId="5822B141">
      <w:pPr>
        <w:jc w:val="left"/>
        <w:rPr>
          <w:rFonts w:hint="default"/>
          <w:sz w:val="21"/>
          <w:szCs w:val="21"/>
          <w:lang w:val="en-US" w:eastAsia="zh-CN"/>
        </w:rPr>
      </w:pPr>
    </w:p>
    <w:p w14:paraId="7FECF60B">
      <w:pPr>
        <w:jc w:val="left"/>
        <w:rPr>
          <w:rFonts w:hint="default"/>
          <w:sz w:val="21"/>
          <w:szCs w:val="21"/>
          <w:lang w:val="en-US" w:eastAsia="zh-CN"/>
        </w:rPr>
      </w:pPr>
      <w:r>
        <w:rPr>
          <w:rFonts w:hint="default"/>
          <w:sz w:val="21"/>
          <w:szCs w:val="21"/>
          <w:lang w:val="en-US" w:eastAsia="zh-CN"/>
        </w:rPr>
        <w:t>In estuarine habitats, the effects of increasing salinity (from freshwater to seawater) on fish fauna are well documented (Abookire et al., 2000; Harrison and Whitfield, 2006; Hossain et al., 2016; Kantoussan et al., 2012; Telesh et al., 2013). Typically, an increase in salinity results in increased species richness (Koehler et al., 2022), abundance, and biomass (Harrison and Whitfield, 2006). However, adverse effects on fish survival and development occur when salinity abruptly changes (Bachman and Rand, 2008). In estuarine systems salinity is the main driver in structuring species assemblages (Barletta et al., 2005).</w:t>
      </w:r>
    </w:p>
    <w:p w14:paraId="410D6150">
      <w:pPr>
        <w:jc w:val="left"/>
        <w:rPr>
          <w:rFonts w:hint="default"/>
          <w:sz w:val="21"/>
          <w:szCs w:val="21"/>
          <w:lang w:val="en-US" w:eastAsia="zh-CN"/>
        </w:rPr>
      </w:pPr>
    </w:p>
    <w:p w14:paraId="4FAFE967">
      <w:pPr>
        <w:jc w:val="left"/>
        <w:rPr>
          <w:rFonts w:hint="default"/>
          <w:sz w:val="21"/>
          <w:szCs w:val="21"/>
          <w:lang w:val="en-US" w:eastAsia="zh-CN"/>
        </w:rPr>
      </w:pPr>
      <w:r>
        <w:rPr>
          <w:rFonts w:hint="default"/>
          <w:sz w:val="21"/>
          <w:szCs w:val="21"/>
          <w:lang w:val="en-US" w:eastAsia="zh-CN"/>
        </w:rPr>
        <w:t>There are very few locations globally where a salinity gradient from seawater to hypersalinity exists, with research into the effects on fish fauna being scarce (Vega-Cendejas and Santillana, 2004). In rare cases, arid conditions and minimal freshwater input cause an inverse salinity gradient along low-inflow estuaries (Júnior et al., 2023; Krispyn et al., 2021; Largier, 2023, Walter et al., 2018) and hypersalinity within coastal lagoons (Almeida-Silva et al., 2015). Within these unique environments variation in salinity is the major influence on fish species diversity (Shaha et al., 2022) and assemblage structure (Franco et al., 2019). As salinity exceeds &gt;35 PSU, fish species richness (Gonzalez, 2012; Molony and Parry, 2006; Sales et al., 2018; Sosa-López et al., 2007; Whitfield et al., 2006) and abundance (Krispyn et al., 2021) decrease. Consequently, hypersaline environments are thought to be among the harshest for fish fauna to survive in due to the physiological stress high salinity exerts, and the osmoregulatory challenges they pose (Gonzalez, 2012; Sosa-López et al., 2007; Vega-Cendejas and Santillana, 2004).</w:t>
      </w:r>
    </w:p>
    <w:p w14:paraId="34113288">
      <w:pPr>
        <w:jc w:val="left"/>
        <w:rPr>
          <w:rFonts w:hint="default"/>
          <w:sz w:val="21"/>
          <w:szCs w:val="21"/>
          <w:lang w:val="en-US" w:eastAsia="zh-CN"/>
        </w:rPr>
      </w:pPr>
      <w:r>
        <w:rPr>
          <w:rFonts w:hint="default"/>
          <w:sz w:val="21"/>
          <w:szCs w:val="21"/>
          <w:lang w:val="en-US" w:eastAsia="zh-CN"/>
        </w:rPr>
        <w:t>Shark Bay, Western Australia, is Australia's largest marine embayment covering approximately 28,700 km2 (Christensen and Jones, 2020). Designated a UNESCO World Heritage Area in 1991, it is one of only a select number globally which meet all four criteria for World Heritage status, highlighting its unique marine and terrestrial environments (IUCN, 1991). Shark Bay's Cape Peron Peninsula (Fig. 1a) creates two shallow, semi-enclosed embayments - the Western and Eastern Gulfs - where freshwater input and rainfall is minimal, and evaporation is high (DBCA, 2019; Kendrick et al., 2012). Subsequently, the area is characterised by a unique and extreme salinity gradient, increasing from the oceanic opening in the north, south to the hypersaline depths of the embayments.</w:t>
      </w:r>
    </w:p>
    <w:p w14:paraId="3FD83E20">
      <w:pPr>
        <w:jc w:val="left"/>
        <w:rPr>
          <w:rFonts w:hint="default"/>
          <w:sz w:val="21"/>
          <w:szCs w:val="21"/>
          <w:lang w:val="en-US" w:eastAsia="zh-CN"/>
        </w:rPr>
      </w:pPr>
      <w:r>
        <w:rPr>
          <w:rFonts w:hint="default"/>
          <w:sz w:val="21"/>
          <w:szCs w:val="21"/>
          <w:lang w:val="en-US" w:eastAsia="zh-CN"/>
        </w:rPr>
        <w:t>Hamelin Pool Marine Nature Reserve (Hamelin Pool) encompasses the southern half of the Eastern Gulf and there is no fishing permitted within this reserve (Fig. 1a). The large seagrass bank of the Faure Sill creates a boundary between Hamelin Pool and the Eastern Gulf, limiting water exchange and creating a hypersaline environment within Hamelin Pool (Suosaari et al., 2016). Hypersaline waters persist throughout the year yet increase and extend across the Faure Sill and into the Eastern Gulf during the winter months (D'Antonio et al., 2025; Suosaari et al., 2016; Suosaari et al., 2016; Richards et al., 2025). These hypersaline conditions are too hostile for many fish species, while generating optimal conditions for the world's largest population of actively accreting stromatolites (Suosaari et al., 2016, Suosaari et al., 2016). These microbially-produced sedimentary structures are among the earliest forms of life on earth, and are the basis of Shark Bay's UNESCO World Heritage Area listing (Allwood et al., 2007; Nutman et al., 2016). They may also provide a unique form of habitat for the fish that occur in these hypersaline conditions.</w:t>
      </w:r>
    </w:p>
    <w:p w14:paraId="6A8E5717">
      <w:pPr>
        <w:jc w:val="left"/>
        <w:rPr>
          <w:rFonts w:hint="default"/>
          <w:sz w:val="21"/>
          <w:szCs w:val="21"/>
          <w:lang w:val="en-US" w:eastAsia="zh-CN"/>
        </w:rPr>
      </w:pPr>
    </w:p>
    <w:p w14:paraId="0F02CE13">
      <w:pPr>
        <w:jc w:val="left"/>
        <w:rPr>
          <w:rFonts w:hint="default"/>
          <w:sz w:val="21"/>
          <w:szCs w:val="21"/>
          <w:lang w:val="en-US" w:eastAsia="zh-CN"/>
        </w:rPr>
      </w:pPr>
      <w:r>
        <w:rPr>
          <w:rFonts w:hint="default"/>
          <w:sz w:val="21"/>
          <w:szCs w:val="21"/>
          <w:lang w:val="en-US" w:eastAsia="zh-CN"/>
        </w:rPr>
        <w:t>Despite the unique environment and significant ecological importance of Shark Bay, limited research has examined the composition of its fish fauna (Black et al., 1990; Clough, 2011; DBCA, 2019; Hutchins, 1990), with the exception of research on commercially important fish species (Fairclough et al., 2022; Jackson, 2008; Moran and Kangas, 2003).</w:t>
      </w:r>
    </w:p>
    <w:p w14:paraId="026DF04B">
      <w:pPr>
        <w:jc w:val="left"/>
        <w:rPr>
          <w:rFonts w:hint="default"/>
          <w:sz w:val="21"/>
          <w:szCs w:val="21"/>
          <w:lang w:val="en-US" w:eastAsia="zh-CN"/>
        </w:rPr>
      </w:pPr>
    </w:p>
    <w:p w14:paraId="4494AF4F">
      <w:pPr>
        <w:jc w:val="left"/>
        <w:rPr>
          <w:rFonts w:hint="default"/>
          <w:sz w:val="21"/>
          <w:szCs w:val="21"/>
          <w:lang w:val="en-US" w:eastAsia="zh-CN"/>
        </w:rPr>
      </w:pPr>
      <w:r>
        <w:rPr>
          <w:rFonts w:hint="default"/>
          <w:sz w:val="21"/>
          <w:szCs w:val="21"/>
          <w:lang w:val="en-US" w:eastAsia="zh-CN"/>
        </w:rPr>
        <w:t>This unique location creates an opportunity to examine changes in fish assemblage composition and biomass along an extreme salinity gradient from the top of the Eastern Gulf of Shark Bay, across the Faure Sill and throughout Hamelin Pool. We specifically aim to a) examine how fish assemblages change across an extreme salinity gradient, b) assess which environmental factors (salinity, habitat, and temperature) influence fish assemblages and c) examine any variation in the length and biomass of species, as well as in feeding guilds and targeted fish present within the assemblage. With very few teleost fish species being able to tolerate salinity above 50 PSU (Gonzalez, 2012), we hypothesise that the abundance of fish, the number of species, the number of individuals, and the biomass of the assemblage, will decrease with increasing salinity. It's expected the largest change in salinity will be over the Faure Sill, with the Sill acting as a transitional zone.</w:t>
      </w:r>
    </w:p>
    <w:p w14:paraId="43A2E190">
      <w:pPr>
        <w:jc w:val="left"/>
        <w:rPr>
          <w:rFonts w:hint="default"/>
          <w:sz w:val="21"/>
          <w:szCs w:val="21"/>
          <w:lang w:val="en-US" w:eastAsia="zh-CN"/>
        </w:rPr>
      </w:pPr>
    </w:p>
    <w:p w14:paraId="4A1773FB">
      <w:pPr>
        <w:jc w:val="left"/>
        <w:rPr>
          <w:rFonts w:hint="default"/>
          <w:sz w:val="28"/>
          <w:szCs w:val="28"/>
          <w:lang w:val="en-US" w:eastAsia="zh-CN"/>
        </w:rPr>
      </w:pPr>
      <w:r>
        <w:rPr>
          <w:rFonts w:hint="default"/>
          <w:sz w:val="28"/>
          <w:szCs w:val="28"/>
          <w:lang w:val="en-US" w:eastAsia="zh-CN"/>
        </w:rPr>
        <w:t>Section snippets</w:t>
      </w:r>
    </w:p>
    <w:p w14:paraId="65B08D4F">
      <w:pPr>
        <w:jc w:val="left"/>
        <w:rPr>
          <w:rFonts w:hint="default"/>
          <w:sz w:val="28"/>
          <w:szCs w:val="28"/>
          <w:lang w:val="en-US" w:eastAsia="zh-CN"/>
        </w:rPr>
      </w:pPr>
      <w:r>
        <w:rPr>
          <w:rFonts w:hint="default"/>
          <w:sz w:val="28"/>
          <w:szCs w:val="28"/>
          <w:lang w:val="en-US" w:eastAsia="zh-CN"/>
        </w:rPr>
        <w:t>Study area</w:t>
      </w:r>
    </w:p>
    <w:p w14:paraId="5ED50962">
      <w:pPr>
        <w:jc w:val="left"/>
        <w:rPr>
          <w:rFonts w:hint="default"/>
          <w:sz w:val="21"/>
          <w:szCs w:val="21"/>
          <w:lang w:val="en-US" w:eastAsia="zh-CN"/>
        </w:rPr>
      </w:pPr>
      <w:r>
        <w:rPr>
          <w:rFonts w:hint="default"/>
          <w:sz w:val="21"/>
          <w:szCs w:val="21"/>
          <w:lang w:val="en-US" w:eastAsia="zh-CN"/>
        </w:rPr>
        <w:t>Sampling took place across Shark Bay, 800 km north of Perth, from the Cape Peron Peninsula (−25.5057° S, 113.5088° E), 131 km south (−26.4366° S, 114.078° E) to the base of Hamelin Pool (Fig. 1a), where salinity is known to range between 15.7 PSU to 91.5 PSU (Suosaari et al., 2016). Annual water temperature within Hamelin Pool is also highly variable, varying between 11 °C and 33 °C (at 2m depth), with a maximum depth of 11m (Suosaari et al., 2016).</w:t>
      </w:r>
    </w:p>
    <w:p w14:paraId="3D65C08F">
      <w:pPr>
        <w:jc w:val="left"/>
        <w:rPr>
          <w:rFonts w:hint="default"/>
          <w:sz w:val="28"/>
          <w:szCs w:val="28"/>
          <w:lang w:val="en-US" w:eastAsia="zh-CN"/>
        </w:rPr>
      </w:pPr>
      <w:r>
        <w:rPr>
          <w:rFonts w:hint="default"/>
          <w:sz w:val="28"/>
          <w:szCs w:val="28"/>
          <w:lang w:val="en-US" w:eastAsia="zh-CN"/>
        </w:rPr>
        <w:t>Experimental design</w:t>
      </w:r>
    </w:p>
    <w:p w14:paraId="0026E161">
      <w:pPr>
        <w:jc w:val="left"/>
        <w:rPr>
          <w:rFonts w:hint="default"/>
          <w:sz w:val="21"/>
          <w:szCs w:val="21"/>
          <w:lang w:val="en-US" w:eastAsia="zh-CN"/>
        </w:rPr>
      </w:pPr>
      <w:r>
        <w:rPr>
          <w:rFonts w:hint="default"/>
          <w:sz w:val="21"/>
          <w:szCs w:val="21"/>
          <w:lang w:val="en-US" w:eastAsia="zh-CN"/>
        </w:rPr>
        <w:t>Baited remote underwater stereo-video systems</w:t>
      </w:r>
    </w:p>
    <w:p w14:paraId="6E5C5B87">
      <w:pPr>
        <w:jc w:val="left"/>
        <w:rPr>
          <w:rFonts w:hint="default"/>
          <w:sz w:val="28"/>
          <w:szCs w:val="28"/>
          <w:lang w:val="en-US" w:eastAsia="zh-CN"/>
        </w:rPr>
      </w:pPr>
    </w:p>
    <w:p w14:paraId="0FADE51C">
      <w:pPr>
        <w:jc w:val="left"/>
        <w:rPr>
          <w:rFonts w:hint="default"/>
          <w:sz w:val="28"/>
          <w:szCs w:val="28"/>
          <w:lang w:val="en-US" w:eastAsia="zh-CN"/>
        </w:rPr>
      </w:pPr>
      <w:bookmarkStart w:id="0" w:name="_GoBack"/>
      <w:bookmarkEnd w:id="0"/>
      <w:r>
        <w:rPr>
          <w:rFonts w:hint="default"/>
          <w:sz w:val="28"/>
          <w:szCs w:val="28"/>
          <w:lang w:val="en-US" w:eastAsia="zh-CN"/>
        </w:rPr>
        <w:t>Environmental factors</w:t>
      </w:r>
    </w:p>
    <w:p w14:paraId="2DE1151F">
      <w:pPr>
        <w:jc w:val="left"/>
        <w:rPr>
          <w:rFonts w:hint="default"/>
          <w:sz w:val="21"/>
          <w:szCs w:val="21"/>
          <w:lang w:val="en-US" w:eastAsia="zh-CN"/>
        </w:rPr>
      </w:pPr>
      <w:r>
        <w:rPr>
          <w:rFonts w:hint="default"/>
          <w:sz w:val="21"/>
          <w:szCs w:val="21"/>
          <w:lang w:val="en-US" w:eastAsia="zh-CN"/>
        </w:rPr>
        <w:t>Mean salinity per site increased from 39.4 PSU at the most northern site in the Eastern Gulf to 68.8 PSU at the most southern site within Hamelin Pool (Fig. 1b). The largest change in salinity occurred over the Faure Sill (48.1–63.5 PSU) versus 39.4–48.1 PSU and 61.2–68.8 PSU for the Eastern Gulf and Hamelin Pool respectively (Supp. Info Table 1). Mean water temperature per site decreased from 20.4 °C in the north of the Eastern Gulf to 16.7 °C at the southern end of Hamelin Pool (Fig. 1c).</w:t>
      </w:r>
    </w:p>
    <w:p w14:paraId="395E2B6D">
      <w:pPr>
        <w:jc w:val="left"/>
        <w:rPr>
          <w:rFonts w:hint="default"/>
          <w:sz w:val="28"/>
          <w:szCs w:val="28"/>
          <w:lang w:val="en-US" w:eastAsia="zh-CN"/>
        </w:rPr>
      </w:pPr>
      <w:r>
        <w:rPr>
          <w:rFonts w:hint="default"/>
          <w:sz w:val="28"/>
          <w:szCs w:val="28"/>
          <w:lang w:val="en-US" w:eastAsia="zh-CN"/>
        </w:rPr>
        <w:t>Discussion</w:t>
      </w:r>
    </w:p>
    <w:p w14:paraId="2AC10964">
      <w:pPr>
        <w:jc w:val="left"/>
        <w:rPr>
          <w:rFonts w:hint="default"/>
          <w:sz w:val="21"/>
          <w:szCs w:val="21"/>
          <w:lang w:val="en-US" w:eastAsia="zh-CN"/>
        </w:rPr>
      </w:pPr>
      <w:r>
        <w:rPr>
          <w:rFonts w:hint="default"/>
          <w:sz w:val="21"/>
          <w:szCs w:val="21"/>
          <w:lang w:val="en-US" w:eastAsia="zh-CN"/>
        </w:rPr>
        <w:t>Salinity and habitat were the most important drivers of fish assemblage composition across the survey area. Temperature and depth did explain a small proportion of the variation in fish communities, but variation in these across our survey area was relatively small. There was a clear change in abundance and biomass of fish assemblages across an extreme salinity gradient, with the number of species decreasing with increasing salinity, however we acknowledge that these are confounded by</w:t>
      </w:r>
    </w:p>
    <w:p w14:paraId="0E85F534">
      <w:pPr>
        <w:jc w:val="left"/>
        <w:rPr>
          <w:rFonts w:hint="default"/>
          <w:sz w:val="28"/>
          <w:szCs w:val="28"/>
          <w:lang w:val="en-US" w:eastAsia="zh-CN"/>
        </w:rPr>
      </w:pPr>
      <w:r>
        <w:rPr>
          <w:rFonts w:hint="default"/>
          <w:sz w:val="28"/>
          <w:szCs w:val="28"/>
          <w:lang w:val="en-US" w:eastAsia="zh-CN"/>
        </w:rPr>
        <w:t>Conclusion</w:t>
      </w:r>
    </w:p>
    <w:p w14:paraId="0C237734">
      <w:pPr>
        <w:jc w:val="left"/>
        <w:rPr>
          <w:rFonts w:hint="default"/>
          <w:sz w:val="21"/>
          <w:szCs w:val="21"/>
          <w:lang w:val="en-US" w:eastAsia="zh-CN"/>
        </w:rPr>
      </w:pPr>
      <w:r>
        <w:rPr>
          <w:rFonts w:hint="default"/>
          <w:sz w:val="21"/>
          <w:szCs w:val="21"/>
          <w:lang w:val="en-US" w:eastAsia="zh-CN"/>
        </w:rPr>
        <w:t>This study presents a comprehensive spatial assessment of fish assemblages across an extreme salinity gradient within Shark Bay UNESCO World Heritage Area. It reveals 90 species from 44 Families, dominated by carnivores (86 %), with just one herbivore species identified, which raises questions regarding energy sources for these fishes. Variations in assemblages were driven by changes in salinity and habitat, with fish tolerating salinities up to 68.9 PSU. Temperature and depth had a minimal</w:t>
      </w:r>
    </w:p>
    <w:p w14:paraId="3F29334F">
      <w:pPr>
        <w:jc w:val="left"/>
        <w:rPr>
          <w:rFonts w:hint="default"/>
          <w:sz w:val="28"/>
          <w:szCs w:val="28"/>
          <w:lang w:val="en-US" w:eastAsia="zh-CN"/>
        </w:rPr>
      </w:pPr>
      <w:r>
        <w:rPr>
          <w:rFonts w:hint="default"/>
          <w:sz w:val="28"/>
          <w:szCs w:val="28"/>
          <w:lang w:val="en-US" w:eastAsia="zh-CN"/>
        </w:rPr>
        <w:t>CRediT authorship contribution statement</w:t>
      </w:r>
    </w:p>
    <w:p w14:paraId="69EC0CDD">
      <w:pPr>
        <w:jc w:val="left"/>
        <w:rPr>
          <w:rFonts w:hint="default"/>
          <w:sz w:val="21"/>
          <w:szCs w:val="21"/>
          <w:lang w:val="en-US" w:eastAsia="zh-CN"/>
        </w:rPr>
      </w:pPr>
      <w:r>
        <w:rPr>
          <w:rFonts w:hint="default"/>
          <w:sz w:val="21"/>
          <w:szCs w:val="21"/>
          <w:lang w:val="en-US" w:eastAsia="zh-CN"/>
        </w:rPr>
        <w:t>Kirsty E. Richards: Writing – original draft, Visualization, Validation, Methodology, Investigation, Formal analysis, Conceptualization. Benjamin J. Saunders: Writing – review &amp; editing, Visualization, Validation, Supervision, Investigation, Funding acquisition, Formal analysis, Conceptualization. Erica Suosaari: Investigation, Conceptualization. Shaun Wilson: Writing – review &amp; editing, Visualization, Supervision. Euan S. Harvey: Writing – review &amp; editing, Visualization, Validation,</w:t>
      </w:r>
    </w:p>
    <w:p w14:paraId="2901B3CD">
      <w:pPr>
        <w:jc w:val="left"/>
        <w:rPr>
          <w:rFonts w:hint="default"/>
          <w:sz w:val="21"/>
          <w:szCs w:val="21"/>
          <w:lang w:val="en-US" w:eastAsia="zh-CN"/>
        </w:rPr>
      </w:pPr>
    </w:p>
    <w:p w14:paraId="6E347B57">
      <w:pPr>
        <w:jc w:val="left"/>
        <w:rPr>
          <w:rFonts w:hint="eastAsia"/>
          <w:sz w:val="21"/>
          <w:szCs w:val="21"/>
        </w:rPr>
      </w:pPr>
    </w:p>
    <w:p w14:paraId="65402DD8">
      <w:pPr>
        <w:jc w:val="left"/>
        <w:rPr>
          <w:rFonts w:hint="eastAsia"/>
          <w:sz w:val="21"/>
          <w:szCs w:val="21"/>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Georgia">
    <w:panose1 w:val="02040502050405020303"/>
    <w:charset w:val="00"/>
    <w:family w:val="auto"/>
    <w:pitch w:val="default"/>
    <w:sig w:usb0="00000287" w:usb1="00000000" w:usb2="00000000" w:usb3="00000000" w:csb0="2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71B7454"/>
    <w:rsid w:val="0C974F16"/>
    <w:rsid w:val="11A16A45"/>
    <w:rsid w:val="39644874"/>
    <w:rsid w:val="54295E4B"/>
    <w:rsid w:val="5B667984"/>
    <w:rsid w:val="67780823"/>
    <w:rsid w:val="79DE3C1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3">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character" w:styleId="6">
    <w:name w:val="Strong"/>
    <w:basedOn w:val="5"/>
    <w:qFormat/>
    <w:uiPriority w:val="0"/>
    <w:rPr>
      <w:b/>
    </w:rPr>
  </w:style>
  <w:style w:type="character" w:styleId="7">
    <w:name w:val="Emphasis"/>
    <w:basedOn w:val="5"/>
    <w:qFormat/>
    <w:uiPriority w:val="0"/>
    <w:rPr>
      <w:i/>
    </w:rPr>
  </w:style>
  <w:style w:type="character" w:styleId="8">
    <w:name w:val="Hyperlink"/>
    <w:basedOn w:val="5"/>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7</TotalTime>
  <ScaleCrop>false</ScaleCrop>
  <LinksUpToDate>false</LinksUpToDate>
  <CharactersWithSpaces>0</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2026-05-19T02:34:59Z</dcterms:created>
  <dc:creator>41235</dc:creator>
  <cp:lastModifiedBy>西麻</cp:lastModifiedBy>
  <dcterms:modified xsi:type="dcterms:W3CDTF">2026-05-19T02:44:58Z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KSOTemplateDocerSaveRecord">
    <vt:lpwstr>eyJoZGlkIjoiYzhkYjc5YmM2OWQyNDM2ZDYxNTI5ZGY4NGQwZmM4N2IiLCJ1c2VySWQiOiIzNTQ2OTM5NzgifQ==</vt:lpwstr>
  </property>
  <property fmtid="{D5CDD505-2E9C-101B-9397-08002B2CF9AE}" pid="4" name="ICV">
    <vt:lpwstr>2C05D7F702254909A782A755E96E6FD4_12</vt:lpwstr>
  </property>
</Properties>
</file>