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BA379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60" w:beforeAutospacing="0" w:after="160" w:afterAutospacing="0"/>
        <w:ind w:left="0" w:right="0" w:firstLine="0"/>
        <w:jc w:val="center"/>
        <w:rPr>
          <w:rFonts w:hint="eastAsia"/>
        </w:rPr>
      </w:pPr>
      <w:r>
        <w:rPr>
          <w:rFonts w:hint="default" w:ascii="Georgia" w:hAnsi="Georgia" w:eastAsia="Georgia" w:cs="Georgia"/>
          <w:b w:val="0"/>
          <w:bCs w:val="0"/>
          <w:i w:val="0"/>
          <w:iCs w:val="0"/>
          <w:caps w:val="0"/>
          <w:color w:val="1F1F1F"/>
          <w:spacing w:val="0"/>
          <w:sz w:val="32"/>
          <w:szCs w:val="32"/>
        </w:rPr>
        <w:t>Heart rate variability as a neurophysiological biomarker of stress and welfare in olive flounder (</w:t>
      </w:r>
      <w:r>
        <w:rPr>
          <w:rStyle w:val="7"/>
          <w:rFonts w:hint="default" w:ascii="Georgia" w:hAnsi="Georgia" w:eastAsia="Georgia" w:cs="Georgia"/>
          <w:b w:val="0"/>
          <w:bCs w:val="0"/>
          <w:i w:val="0"/>
          <w:iCs w:val="0"/>
          <w:caps w:val="0"/>
          <w:color w:val="1F1F1F"/>
          <w:spacing w:val="0"/>
          <w:sz w:val="32"/>
          <w:szCs w:val="32"/>
        </w:rPr>
        <w:t>Paralichthys olivaceus</w:t>
      </w:r>
      <w:r>
        <w:rPr>
          <w:rFonts w:hint="default" w:ascii="Georgia" w:hAnsi="Georgia" w:eastAsia="Georgia" w:cs="Georgia"/>
          <w:b w:val="0"/>
          <w:bCs w:val="0"/>
          <w:i w:val="0"/>
          <w:iCs w:val="0"/>
          <w:caps w:val="0"/>
          <w:color w:val="1F1F1F"/>
          <w:spacing w:val="0"/>
          <w:sz w:val="32"/>
          <w:szCs w:val="32"/>
        </w:rPr>
        <w:t>) under varying stocking densities</w:t>
      </w:r>
    </w:p>
    <w:p w14:paraId="2BADA7E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60" w:beforeAutospacing="0" w:after="160" w:afterAutospacing="0"/>
        <w:ind w:left="0" w:right="0" w:firstLine="0"/>
        <w:jc w:val="center"/>
        <w:rPr>
          <w:rFonts w:hint="eastAsia" w:ascii="Georgia" w:hAnsi="Georgia" w:eastAsia="Georgia" w:cs="Georgia"/>
          <w:b w:val="0"/>
          <w:bCs w:val="0"/>
          <w:i w:val="0"/>
          <w:iCs w:val="0"/>
          <w:caps w:val="0"/>
          <w:color w:val="1F1F1F"/>
          <w:spacing w:val="0"/>
          <w:sz w:val="32"/>
          <w:szCs w:val="32"/>
        </w:rPr>
      </w:pPr>
      <w:r>
        <w:rPr>
          <w:rFonts w:hint="eastAsia" w:ascii="Georgia" w:hAnsi="Georgia" w:eastAsia="Georgia" w:cs="Georgia"/>
          <w:b w:val="0"/>
          <w:bCs w:val="0"/>
          <w:i w:val="0"/>
          <w:iCs w:val="0"/>
          <w:caps w:val="0"/>
          <w:color w:val="1F1F1F"/>
          <w:spacing w:val="0"/>
          <w:sz w:val="32"/>
          <w:szCs w:val="32"/>
        </w:rPr>
        <w:t>不同放养密度下比目鱼压力和福利的神经生理学生物标志物</w:t>
      </w:r>
      <w:r>
        <w:rPr>
          <w:rFonts w:hint="eastAsia" w:ascii="Georgia" w:hAnsi="Georgia" w:cs="Georgia"/>
          <w:b w:val="0"/>
          <w:bCs w:val="0"/>
          <w:i w:val="0"/>
          <w:iCs w:val="0"/>
          <w:caps w:val="0"/>
          <w:color w:val="1F1F1F"/>
          <w:spacing w:val="0"/>
          <w:sz w:val="32"/>
          <w:szCs w:val="32"/>
          <w:lang w:val="en-US" w:eastAsia="zh-CN"/>
        </w:rPr>
        <w:t>:</w:t>
      </w:r>
      <w:r>
        <w:rPr>
          <w:rFonts w:hint="eastAsia" w:ascii="Georgia" w:hAnsi="Georgia" w:eastAsia="Georgia" w:cs="Georgia"/>
          <w:b w:val="0"/>
          <w:bCs w:val="0"/>
          <w:i w:val="0"/>
          <w:iCs w:val="0"/>
          <w:caps w:val="0"/>
          <w:color w:val="1F1F1F"/>
          <w:spacing w:val="0"/>
          <w:sz w:val="32"/>
          <w:szCs w:val="32"/>
        </w:rPr>
        <w:t>心率变异性</w:t>
      </w:r>
    </w:p>
    <w:p w14:paraId="4D2FF412">
      <w:pPr>
        <w:rPr>
          <w:rFonts w:hint="eastAsia"/>
          <w:lang w:val="en-US" w:eastAsia="zh-CN"/>
        </w:rPr>
      </w:pPr>
      <w:r>
        <w:rPr>
          <w:rFonts w:hint="eastAsia"/>
          <w:lang w:val="en-US" w:eastAsia="zh-CN"/>
        </w:rPr>
        <w:t>Abstract</w:t>
      </w:r>
    </w:p>
    <w:p w14:paraId="52684ECD">
      <w:pPr>
        <w:rPr>
          <w:rFonts w:hint="eastAsia"/>
          <w:lang w:val="en-US" w:eastAsia="zh-CN"/>
        </w:rPr>
      </w:pPr>
      <w:r>
        <w:rPr>
          <w:rFonts w:hint="eastAsia"/>
          <w:lang w:val="en-US" w:eastAsia="zh-CN"/>
        </w:rPr>
        <w:t>This study sought to evaluate the physiological stress responses of </w:t>
      </w:r>
      <w:r>
        <w:rPr>
          <w:rFonts w:hint="eastAsia"/>
          <w:lang w:val="en-US" w:eastAsia="zh-CN"/>
        </w:rPr>
        <w:fldChar w:fldCharType="begin"/>
      </w:r>
      <w:r>
        <w:rPr>
          <w:rFonts w:hint="eastAsia"/>
          <w:lang w:val="en-US" w:eastAsia="zh-CN"/>
        </w:rPr>
        <w:instrText xml:space="preserve"> HYPERLINK "https://www.sciencedirect.com/topics/agricultural-and-biological-sciences/paralichthys-olivaceus" </w:instrText>
      </w:r>
      <w:r>
        <w:rPr>
          <w:rFonts w:hint="eastAsia"/>
          <w:lang w:val="en-US" w:eastAsia="zh-CN"/>
        </w:rPr>
        <w:fldChar w:fldCharType="separate"/>
      </w:r>
      <w:r>
        <w:rPr>
          <w:rFonts w:hint="eastAsia"/>
          <w:lang w:val="en-US" w:eastAsia="zh-CN"/>
        </w:rPr>
        <w:t>olive flounder</w:t>
      </w:r>
      <w:r>
        <w:rPr>
          <w:rFonts w:hint="eastAsia"/>
          <w:lang w:val="en-US" w:eastAsia="zh-CN"/>
        </w:rPr>
        <w:fldChar w:fldCharType="end"/>
      </w:r>
      <w:r>
        <w:rPr>
          <w:rFonts w:hint="eastAsia"/>
          <w:lang w:val="en-US" w:eastAsia="zh-CN"/>
        </w:rPr>
        <w:t> (Paralichthys olivaceus) to varying stocking densities by analyzing heart rate and heart rate variability (HRV). All experiments were conducted in flow-through tanks under both normal- and high-density conditions. Bio-loggers were implanted in the fish to continuously monitor their heart rates and HRV over a 25-day period. The collected data were processed using the Mercury software, using only high-quality heart rate data. To evaluate HRV, the coefficient of variation (CV) was calculated, offering a standardized measure of heart rate variability. The fish in the high-density environments exhibited significantly higher heart rates and lower HRVs than those in normal-density environments. Elevated plasma cortisol levels in the high-density group (p &lt; 0.05) further validated the stress responses indicated by heart rate and HRV. These findings suggest that high-density conditions induce significant stress in </w:t>
      </w:r>
      <w:r>
        <w:rPr>
          <w:rFonts w:hint="eastAsia"/>
          <w:lang w:val="en-US" w:eastAsia="zh-CN"/>
        </w:rPr>
        <w:fldChar w:fldCharType="begin"/>
      </w:r>
      <w:r>
        <w:rPr>
          <w:rFonts w:hint="eastAsia"/>
          <w:lang w:val="en-US" w:eastAsia="zh-CN"/>
        </w:rPr>
        <w:instrText xml:space="preserve"> HYPERLINK "https://www.sciencedirect.com/topics/agricultural-and-biological-sciences/paralichthys-olivaceus" </w:instrText>
      </w:r>
      <w:r>
        <w:rPr>
          <w:rFonts w:hint="eastAsia"/>
          <w:lang w:val="en-US" w:eastAsia="zh-CN"/>
        </w:rPr>
        <w:fldChar w:fldCharType="separate"/>
      </w:r>
      <w:r>
        <w:rPr>
          <w:rFonts w:hint="eastAsia"/>
          <w:lang w:val="en-US" w:eastAsia="zh-CN"/>
        </w:rPr>
        <w:t>olive flounder</w:t>
      </w:r>
      <w:r>
        <w:rPr>
          <w:rFonts w:hint="eastAsia"/>
          <w:lang w:val="en-US" w:eastAsia="zh-CN"/>
        </w:rPr>
        <w:fldChar w:fldCharType="end"/>
      </w:r>
      <w:r>
        <w:rPr>
          <w:rFonts w:hint="eastAsia"/>
          <w:lang w:val="en-US" w:eastAsia="zh-CN"/>
        </w:rPr>
        <w:t>, potentially reducing physiological adaptability and autonomic nervous system balance due to sympathetic dominance. This underscores the importance of density management in aquaculture to enhance fish welfare and highlights HRV analysis as a reliable, non-invasive tool for stress assessment.</w:t>
      </w:r>
    </w:p>
    <w:p w14:paraId="13CB0A29">
      <w:pPr>
        <w:rPr>
          <w:rFonts w:hint="eastAsia"/>
          <w:lang w:val="en-US" w:eastAsia="zh-CN"/>
        </w:rPr>
      </w:pPr>
    </w:p>
    <w:p w14:paraId="70BAFD5A">
      <w:pPr>
        <w:rPr>
          <w:rFonts w:hint="eastAsia"/>
          <w:lang w:val="en-US" w:eastAsia="zh-CN"/>
        </w:rPr>
      </w:pPr>
      <w:r>
        <w:rPr>
          <w:rFonts w:hint="eastAsia"/>
          <w:lang w:val="en-US" w:eastAsia="zh-CN"/>
        </w:rPr>
        <w:t>摘要</w:t>
      </w:r>
    </w:p>
    <w:p w14:paraId="39A70AB3">
      <w:pPr>
        <w:ind w:firstLine="420" w:firstLineChars="200"/>
        <w:rPr>
          <w:rFonts w:hint="default"/>
          <w:lang w:val="en-US" w:eastAsia="zh-CN"/>
        </w:rPr>
      </w:pPr>
      <w:bookmarkStart w:id="0" w:name="_GoBack"/>
      <w:bookmarkEnd w:id="0"/>
      <w:r>
        <w:rPr>
          <w:rFonts w:hint="default"/>
          <w:lang w:val="en-US" w:eastAsia="zh-CN"/>
        </w:rPr>
        <w:t>本研究旨在通过分析心率和心率变异性（HRV）来评估橄榄鲆（Paralichthys olivaceus）在不同养殖密度下的生理应激反应。所有实验均在流水养殖箱中进行，分别设置正常密度与高密度条件。实验鱼体内植入生物记录器，持续监测25天的心率与HRV数据。数据采用Mercury软件处理，仅使用高质量心率数据。为评估HRV，计算变异系数（CV）作为标准化的心率变异性指标。高密度环境中的鱼类心率显著高于正常密度环境中的鱼类，而心率变异性则显著降低。高密度组的血浆皮质醇水平升高（p &lt; 0.05），进一步证实了心率和心率变异性所反映的压力反应。这些结果表明，高密度条件会诱导橄榄鲆显著应激，可能导致因交感神经优势而降低生理适应性和自主神经系统平衡。这凸显了水产养殖中密度管理的重要性，以提升鱼类福利，并强调心率变异性分析作为可靠、无创的压力评估工具的价值。</w:t>
      </w:r>
    </w:p>
    <w:p w14:paraId="43344BFD">
      <w:pPr>
        <w:rPr>
          <w:rFonts w:hint="default"/>
          <w:lang w:val="en-US" w:eastAsia="zh-CN"/>
        </w:rPr>
      </w:pPr>
    </w:p>
    <w:p w14:paraId="7FC69195">
      <w:pPr>
        <w:rPr>
          <w:rFonts w:hint="eastAsia"/>
          <w:sz w:val="30"/>
          <w:szCs w:val="30"/>
          <w:lang w:val="en-US" w:eastAsia="zh-CN"/>
        </w:rPr>
      </w:pPr>
      <w:r>
        <w:rPr>
          <w:rFonts w:hint="eastAsia"/>
          <w:sz w:val="30"/>
          <w:szCs w:val="30"/>
          <w:lang w:val="en-US" w:eastAsia="zh-CN"/>
        </w:rPr>
        <w:t>Introduction</w:t>
      </w:r>
    </w:p>
    <w:p w14:paraId="7D822EA9">
      <w:pPr>
        <w:rPr>
          <w:rFonts w:hint="eastAsia"/>
          <w:lang w:val="en-US" w:eastAsia="zh-CN"/>
        </w:rPr>
      </w:pPr>
      <w:r>
        <w:rPr>
          <w:rFonts w:hint="eastAsia"/>
          <w:lang w:val="en-US" w:eastAsia="zh-CN"/>
        </w:rPr>
        <w:t>The welfare of fish is an area of growing concern, with stocking densities in commercial aquaculture being identified as a specific welfare issue (van de Nieuwegiessen et al., 2008). The relationship between stocking density and fish welfare is complex and non-linear, influenced not only by the number of fish per unit area but also by the standard operating procedures implemented at individual farms (Turnbull et al., 2008). Inadequate or inappropriate farm practices can exacerbate the negative effects of both high and low stocking densities (Saraiva et al., 2022).</w:t>
      </w:r>
    </w:p>
    <w:p w14:paraId="74924785">
      <w:pPr>
        <w:rPr>
          <w:rFonts w:hint="eastAsia"/>
          <w:lang w:val="en-US" w:eastAsia="zh-CN"/>
        </w:rPr>
      </w:pPr>
      <w:r>
        <w:rPr>
          <w:rFonts w:hint="eastAsia"/>
          <w:lang w:val="en-US" w:eastAsia="zh-CN"/>
        </w:rPr>
        <w:t>Generally, high stocking densities in fish farms reduce growth rates and increase mortality (Barcellos et al., 1999; Wang et al., 2019; Jia et al., 2022). It also leads to results that impair fish growth and health, such as decreased immune responses or physiological stress (Barcellos et al., 1999; Lupatsch et al., 2010; Ni et al., 2016; Wang et al., 2019; Jia et al., 2022). Prolonged exposure to such chronic stress impairs animal welfare and can ultimately result in reduced fishery productivity and lower protein quality (Li et al., 2024). Optimal stocking densities vary by fish species, and while low densities have also been found to exert significant impacts (Canario et al., 1998; Roy et al., 2021), many studies indicate that high densities contribute to growth reductions, increased mortality, and stress (Barcellos et al., 1999; Ellis et al., 2002; Turnbull et al., 2008; McKenzie et al., 2012). Environmental factors such as water quality, temperature, pH levels, fish size, and feeding rates also play crucial roles in determining how stocking density affects fish welfare and overall health (Ellis et al., 2002).</w:t>
      </w:r>
    </w:p>
    <w:p w14:paraId="2F4D460E">
      <w:pPr>
        <w:rPr>
          <w:rFonts w:hint="eastAsia"/>
          <w:lang w:val="en-US" w:eastAsia="zh-CN"/>
        </w:rPr>
      </w:pPr>
      <w:r>
        <w:rPr>
          <w:rFonts w:hint="eastAsia"/>
          <w:lang w:val="en-US" w:eastAsia="zh-CN"/>
        </w:rPr>
        <w:t>In aquaculture, managing fish welfare is essential for enhancing health and productivity, and there is a need to evaluate how stocking density affects physical health, stress, and behavior, which are key management indicators (Stien et al., 2020). These indicators are closely interconnected; environmental stress can weaken immunity, lead to inefficient energy use, and result in growth retardation and health deterioration (Jia et al., 2022; Saraiva et al., 2022). As demand for aquaculture production continues to grow (Martos-Sitcha et al., 2020), intensive farming environments require thorough monitoring and management to prevent stress. Without these measures, fish health and survival may be compromised (Ashley, 2007). Thus, welfare management that addresses both physical and environmental needs is crucial.</w:t>
      </w:r>
    </w:p>
    <w:p w14:paraId="099697CE">
      <w:pPr>
        <w:rPr>
          <w:rFonts w:hint="eastAsia"/>
          <w:lang w:val="en-US" w:eastAsia="zh-CN"/>
        </w:rPr>
      </w:pPr>
      <w:r>
        <w:rPr>
          <w:rFonts w:hint="eastAsia"/>
          <w:lang w:val="en-US" w:eastAsia="zh-CN"/>
        </w:rPr>
        <w:t>The olive flounder (Paralichthys olivaceus) is a key aquaculture species in South Korea, accounting for 81 % of land-based, tank-reared fish production from 2006 to 2023 (Statistics Korea, 2024). Ensuring competitiveness within the industry and for individual farms requires efforts such as optimizing aquaculture suitability, selective breeding, feed development, and efficient operation (Eh, 2011). However, the high-density rearing methods commonly used to reduce fixed costs may increase disease prevalence and negatively impact growth rates (van de Nieuwegiessen et al., 2008).</w:t>
      </w:r>
    </w:p>
    <w:p w14:paraId="30B187C1">
      <w:pPr>
        <w:rPr>
          <w:rFonts w:hint="eastAsia"/>
          <w:lang w:val="en-US" w:eastAsia="zh-CN"/>
        </w:rPr>
      </w:pPr>
      <w:r>
        <w:rPr>
          <w:rFonts w:hint="eastAsia"/>
          <w:lang w:val="en-US" w:eastAsia="zh-CN"/>
        </w:rPr>
        <w:t>Fish stress is commonly assessed by measuring blood cortisol levels (Barcellos et al., 1999; van de Nieuwegiessen et al., 2008; Lupatsch et al., 2010). Additionally, oxidative stress markers and antioxidant enzyme activities in tissue samples provide alternative physiological indicators (Liu et al., 2016). However, these methods require capturing the fish and offer only a momentary snapshot of stress responses, limiting their ability to provide continuous monitoring or immediate response assessment (Brijs et al., 2019). These limitations underscore the need for real-time stress monitoring techniques. Fish heart rate is a widely used physiological parameter for assessing metabolic output (Kneis and Siegmund, 1976), locomotor activity and energy expenditure (Kneis and Siegmund, 1976; Lefrançois et al., 1998), and the physiological impact of environmental changes (Larsson et al., 2006), serving as an important indicator in various physiological studies (Hafner et al., 2012). Recently, heart rate has emerged as a promising indicator of stress in fish (Brijs et al., 2018; Brijs et al., 2019; Yousaf et al., 2022; Kwon and Kim, 2023). Cardiac function is central to the stress response, as it maintains blood flow to critical organs like the gills and brain (Filice et al., 2021). Heart rate variability (HRV), the fluctuation in time intervals between successive heartbeats (Ishaque et al., 2021), has emerged as a sensitive indicator of autonomic nervous system activity. In terrestrial farm animals such as pigs, cattle, horses, sheep, and poultry, HRV has been widely employed as a non-invasive tool to assess stress, emotional states, and overall welfare (Von Borell et al., 2007). Although most of this research has focused on land-based species, recent interest in aquaculture has prompted the exploration of HRV as a welfare indicator in fish. While fish studies have so far primarily relied on heart rate (HR) measurements (Brijs et al., 2018; Brijs et al., 2019; Yousaf et al., 2022), the physiological basis of HRV makes it a promising candidate for monitoring chronic stress in aquatic environments particularly under sustained environmental and social challenges such as high stocking density.</w:t>
      </w:r>
    </w:p>
    <w:p w14:paraId="786268DF">
      <w:pPr>
        <w:rPr>
          <w:rFonts w:hint="eastAsia"/>
          <w:lang w:val="en-US" w:eastAsia="zh-CN"/>
        </w:rPr>
      </w:pPr>
      <w:r>
        <w:rPr>
          <w:rFonts w:hint="eastAsia"/>
          <w:lang w:val="en-US" w:eastAsia="zh-CN"/>
        </w:rPr>
        <w:t>To monitor stress fluctuations during rearing, bio-loggers have been implanted in fish to continuously track heart rate changes. For instance, Brijs et al. (2018) assessed stress responses during common farming practices such as crowding and transportation by measuring heart rates, also examining recovery times after bio-logger implantation (Brijs et al., 2019). Similarly, Kwon and Kim (2023) monitored heart rates to evaluate stress responses to temperature changes. These studies demonstrate a strong correlation between heart rate changes and stress levels, indicating that continuous heart rate monitoring can effectively assess stress in freely swimming fish (Brijs et al., 2018). Previous studies have assessed fish stress levels based on changes in heart rate. In contrast, this study aims to evaluate cardiac function to enhance our understanding and assessment of the underlying neurophysiological processes of stress responses, specifically examining the effects of stocking density.</w:t>
      </w:r>
    </w:p>
    <w:p w14:paraId="2C6AD976">
      <w:pPr>
        <w:rPr>
          <w:rFonts w:hint="eastAsia"/>
          <w:lang w:val="en-US" w:eastAsia="zh-CN"/>
        </w:rPr>
      </w:pPr>
      <w:r>
        <w:rPr>
          <w:rFonts w:hint="eastAsia"/>
          <w:lang w:val="en-US" w:eastAsia="zh-CN"/>
        </w:rPr>
        <w:t>This study sought to move beyond the traditional cortisol-based stress assessment method by analyzing both the heart rate and HRV to more precisely evaluate the physiological stress responses of flounder under different density conditions (normal and high density). Analyzing heart rates and HRVs using real-time data, we provide an effective methodology for the continuous monitoring of fish stress. These evaluation data can serve as a foundation for improving welfare practices in fish farming.</w:t>
      </w:r>
    </w:p>
    <w:p w14:paraId="6DEF5153">
      <w:pPr>
        <w:rPr>
          <w:rFonts w:hint="eastAsia"/>
          <w:lang w:val="en-US" w:eastAsia="zh-CN"/>
        </w:rPr>
      </w:pPr>
    </w:p>
    <w:p w14:paraId="381FB563">
      <w:pPr>
        <w:rPr>
          <w:rFonts w:hint="eastAsia"/>
          <w:sz w:val="30"/>
          <w:szCs w:val="30"/>
          <w:lang w:val="en-US" w:eastAsia="zh-CN"/>
        </w:rPr>
      </w:pPr>
      <w:r>
        <w:rPr>
          <w:rFonts w:hint="eastAsia"/>
          <w:sz w:val="30"/>
          <w:szCs w:val="30"/>
          <w:lang w:val="en-US" w:eastAsia="zh-CN"/>
        </w:rPr>
        <w:t>Section snippets</w:t>
      </w:r>
    </w:p>
    <w:p w14:paraId="1A8DFF71">
      <w:pPr>
        <w:rPr>
          <w:rFonts w:hint="eastAsia"/>
          <w:sz w:val="30"/>
          <w:szCs w:val="30"/>
          <w:lang w:val="en-US" w:eastAsia="zh-CN"/>
        </w:rPr>
      </w:pPr>
      <w:r>
        <w:rPr>
          <w:rFonts w:hint="eastAsia"/>
          <w:sz w:val="30"/>
          <w:szCs w:val="30"/>
          <w:lang w:val="en-US" w:eastAsia="zh-CN"/>
        </w:rPr>
        <w:t>Experimental conditions, animals, and research ethics</w:t>
      </w:r>
    </w:p>
    <w:p w14:paraId="564C9DC7">
      <w:pPr>
        <w:rPr>
          <w:rFonts w:hint="eastAsia"/>
          <w:lang w:val="en-US" w:eastAsia="zh-CN"/>
        </w:rPr>
      </w:pPr>
      <w:r>
        <w:rPr>
          <w:rFonts w:hint="eastAsia"/>
          <w:lang w:val="en-US" w:eastAsia="zh-CN"/>
        </w:rPr>
        <w:t>Experiments were conducted to measure stress changes in flounder according to stocking density in four (normal density 2, high density 2) flowing water tanks (5 m in diameter, area: 19.63 m2, volume of water in tank: 7.85 m3) in Jeju, Korea, following the Flounder Culture Standard Manual of the National Institute of Fisheries Science (NIFS (National Institute of Fisheries Science), 2016). The recommended fish density per unit area is 12–32 individual for normal density and 18–48 individual for</w:t>
      </w:r>
    </w:p>
    <w:p w14:paraId="4C16DF0A">
      <w:pPr>
        <w:rPr>
          <w:rFonts w:hint="eastAsia"/>
          <w:sz w:val="30"/>
          <w:szCs w:val="30"/>
          <w:lang w:val="en-US" w:eastAsia="zh-CN"/>
        </w:rPr>
      </w:pPr>
      <w:r>
        <w:rPr>
          <w:rFonts w:hint="eastAsia"/>
          <w:sz w:val="30"/>
          <w:szCs w:val="30"/>
          <w:lang w:val="en-US" w:eastAsia="zh-CN"/>
        </w:rPr>
        <w:t>Heart rate changes under different stocking densities</w:t>
      </w:r>
    </w:p>
    <w:p w14:paraId="3DD876EF">
      <w:pPr>
        <w:rPr>
          <w:rFonts w:hint="eastAsia"/>
          <w:lang w:val="en-US" w:eastAsia="zh-CN"/>
        </w:rPr>
      </w:pPr>
      <w:r>
        <w:rPr>
          <w:rFonts w:hint="eastAsia"/>
          <w:lang w:val="en-US" w:eastAsia="zh-CN"/>
        </w:rPr>
        <w:t>Fig. 1 shows the heart rate changes of the olive flounder over 25 days under different density conditions. Heart rates were consistently higher in the high-density group (47.60 ± 3.00 bpm) than in the normal-density group (39.26 ± 3.68 bpm) throughout the experiment, with significant differences observed (t = 28.534, p &lt; 0.001, Fig. 1). Hourly analysis (Fig. 2A) revealed that both groups exhibited peak heart rates in the afternoon, with the high-density group reaching 50 bpm around 15:00 and</w:t>
      </w:r>
    </w:p>
    <w:p w14:paraId="43C47DF2">
      <w:pPr>
        <w:rPr>
          <w:rFonts w:hint="eastAsia"/>
          <w:sz w:val="30"/>
          <w:szCs w:val="30"/>
          <w:lang w:val="en-US" w:eastAsia="zh-CN"/>
        </w:rPr>
      </w:pPr>
      <w:r>
        <w:rPr>
          <w:rFonts w:hint="eastAsia"/>
          <w:sz w:val="30"/>
          <w:szCs w:val="30"/>
          <w:lang w:val="en-US" w:eastAsia="zh-CN"/>
        </w:rPr>
        <w:t>Discussion</w:t>
      </w:r>
    </w:p>
    <w:p w14:paraId="1646B35D">
      <w:pPr>
        <w:rPr>
          <w:rFonts w:hint="eastAsia"/>
          <w:lang w:val="en-US" w:eastAsia="zh-CN"/>
        </w:rPr>
      </w:pPr>
      <w:r>
        <w:rPr>
          <w:rFonts w:hint="eastAsia"/>
          <w:lang w:val="en-US" w:eastAsia="zh-CN"/>
        </w:rPr>
        <w:t>This study aimed to analyze the impact of stocking density on the stress levels of olive flounder, as indicated by changes in heart rate, HRV, and plasma cortisol levels. Heart rates were significantly higher under high-density than under normal-density conditions (Fig. 1, Fig. 2). Specifically, the heart rate in the high-density group averaged 47.60 ± 3.00 bpm, significantly higher than the 39.26 ± 3.68 bpm observed in the normal-density group (p &lt; 0.05). This suggests that olive flounder</w:t>
      </w:r>
    </w:p>
    <w:p w14:paraId="42B16C31">
      <w:pPr>
        <w:rPr>
          <w:rFonts w:hint="eastAsia"/>
          <w:sz w:val="30"/>
          <w:szCs w:val="30"/>
          <w:lang w:val="en-US" w:eastAsia="zh-CN"/>
        </w:rPr>
      </w:pPr>
    </w:p>
    <w:p w14:paraId="28C29903">
      <w:pPr>
        <w:rPr>
          <w:rFonts w:hint="eastAsia"/>
          <w:sz w:val="30"/>
          <w:szCs w:val="30"/>
          <w:lang w:val="en-US" w:eastAsia="zh-CN"/>
        </w:rPr>
      </w:pPr>
      <w:r>
        <w:rPr>
          <w:rFonts w:hint="eastAsia"/>
          <w:sz w:val="30"/>
          <w:szCs w:val="30"/>
          <w:lang w:val="en-US" w:eastAsia="zh-CN"/>
        </w:rPr>
        <w:t>Conclusions</w:t>
      </w:r>
    </w:p>
    <w:p w14:paraId="462B1330">
      <w:pPr>
        <w:rPr>
          <w:rFonts w:hint="eastAsia"/>
          <w:lang w:val="en-US" w:eastAsia="zh-CN"/>
        </w:rPr>
      </w:pPr>
      <w:r>
        <w:rPr>
          <w:rFonts w:hint="eastAsia"/>
          <w:lang w:val="en-US" w:eastAsia="zh-CN"/>
        </w:rPr>
        <w:t>This study confirms that high stocking density causes physiological stress in olive flounder, as indicated by a significantly higher average heart rate (47.60 ± 3.00 bpm vs. 39.26 ± 3.68 bpm, p &lt; 0.001) and elevated plasma cortisol levels after 25 days (p &lt; 0.001). Heart rate variability (CV) showed a decreasing trend under high-density conditions (18.96 % vs. 19.36 %), though the difference was not statistically significant (p = 0.071). Hourly analysis revealed consistent peaks in heart rate</w:t>
      </w:r>
    </w:p>
    <w:p w14:paraId="0786848C">
      <w:pPr>
        <w:rPr>
          <w:rFonts w:hint="eastAsia"/>
          <w:sz w:val="30"/>
          <w:szCs w:val="30"/>
          <w:lang w:val="en-US" w:eastAsia="zh-CN"/>
        </w:rPr>
      </w:pPr>
      <w:r>
        <w:rPr>
          <w:rFonts w:hint="eastAsia"/>
          <w:sz w:val="30"/>
          <w:szCs w:val="30"/>
          <w:lang w:val="en-US" w:eastAsia="zh-CN"/>
        </w:rPr>
        <w:t>CRediT authorship contribution statement</w:t>
      </w:r>
    </w:p>
    <w:p w14:paraId="3AB46756">
      <w:pPr>
        <w:rPr>
          <w:rFonts w:hint="eastAsia"/>
          <w:lang w:val="en-US" w:eastAsia="zh-CN"/>
        </w:rPr>
      </w:pPr>
      <w:r>
        <w:rPr>
          <w:rFonts w:hint="eastAsia"/>
          <w:lang w:val="en-US" w:eastAsia="zh-CN"/>
        </w:rPr>
        <w:t>Inyeong Kwon: Writing – review &amp; editing, Writing – original draft, Methodology, Investigation, Conceptualization. Ju-Ae Hwang: Writing – review &amp; editing, Writing – original draft.</w:t>
      </w:r>
    </w:p>
    <w:p w14:paraId="7AE789A7">
      <w:p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Georgia">
    <w:panose1 w:val="02040502050405020303"/>
    <w:charset w:val="00"/>
    <w:family w:val="auto"/>
    <w:pitch w:val="default"/>
    <w:sig w:usb0="00000287" w:usb1="00000000" w:usb2="00000000" w:usb3="00000000" w:csb0="2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8A1ACB"/>
    <w:rsid w:val="0F3D6FC2"/>
    <w:rsid w:val="1864257A"/>
    <w:rsid w:val="319C3B4D"/>
    <w:rsid w:val="648D3C9C"/>
    <w:rsid w:val="6C4E42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6">
    <w:name w:val="Strong"/>
    <w:basedOn w:val="5"/>
    <w:qFormat/>
    <w:uiPriority w:val="0"/>
    <w:rPr>
      <w:b/>
    </w:rPr>
  </w:style>
  <w:style w:type="character" w:styleId="7">
    <w:name w:val="Emphasis"/>
    <w:basedOn w:val="5"/>
    <w:qFormat/>
    <w:uiPriority w:val="0"/>
    <w:rPr>
      <w:i/>
    </w:rPr>
  </w:style>
  <w:style w:type="character" w:styleId="8">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1609</Words>
  <Characters>9122</Characters>
  <Lines>0</Lines>
  <Paragraphs>0</Paragraphs>
  <TotalTime>4</TotalTime>
  <ScaleCrop>false</ScaleCrop>
  <LinksUpToDate>false</LinksUpToDate>
  <CharactersWithSpaces>10673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2026-05-12T07:34:00Z</dcterms:created>
  <dc:creator>41235</dc:creator>
  <cp:lastModifiedBy>西麻</cp:lastModifiedBy>
  <dcterms:modified xsi:type="dcterms:W3CDTF">2026-05-14T06:48:08Z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eyJoZGlkIjoiYzhkYjc5YmM2OWQyNDM2ZDYxNTI5ZGY4NGQwZmM4N2IiLCJ1c2VySWQiOiIzNTQ2OTM5NzgifQ==</vt:lpwstr>
  </property>
  <property fmtid="{D5CDD505-2E9C-101B-9397-08002B2CF9AE}" pid="4" name="ICV">
    <vt:lpwstr>FA0C36CB8E3048D8B513A3F43EE89414_12</vt:lpwstr>
  </property>
</Properties>
</file>